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113 II 64</w:t>
      </w:r>
    </w:p>
    <w:p>
      <w:r>
        <w:t>Bundesgericht (BGE), 1987-01-01, FR</w:t>
      </w:r>
    </w:p>
    <w:p>
      <w:r>
        <w:rPr>
          <w:b/>
        </w:rPr>
        <w:t xml:space="preserve">Quelle: </w:t>
      </w:r>
      <w:r>
        <w:t>https://mcp.opencaselaw.ch/entscheid/bge_113 II 64</w:t>
      </w:r>
    </w:p>
    <w:p>
      <w:r>
        <w:t>FR: ATF 113 II 64</w:t>
      </w:r>
    </w:p>
    <w:p>
      <w:r>
        <w:t>IT: DTF 113 II 64</w:t>
      </w:r>
    </w:p>
    <w:p>
      <w:pPr>
        <w:pStyle w:val="Heading2"/>
      </w:pPr>
      <w:r>
        <w:t>Regeste</w:t>
      </w:r>
    </w:p>
    <w:p>
      <w:r>
        <w:t>Regeste Art. 19 EGG. Einspruch gegen den Verkauf der Hälfte des Aktienkapitals einer Immobiliengesellschaft, die Eigentümerin eines landwirtschaftlichen Heimwesens ist, trotz des statutarischen und vertraglichen Vorkaufsrechts des Käufers. 1. Das statutarische und vertragliche Vorkaufsrecht des Käufers kann nicht einem Vorkaufsrecht gemäss Art. 682 ZGB gleichgestellt werden (E. 4a und b, aa und bb). 2. Wenn der Eigentümer die mit einem Vorkaufsrecht belastete Liegenschaft dem Inhaber dieses Rechts verkauft, ohne zu versuchen, die Liegenschaft an einen Dritten zu veräussern, bildet nicht das Vorkaufsrecht den Rechtstitel für den Übergang des Eigentums, sondern unmittelbar der Kaufvertrag (E. 4b, cc).</w:t>
      </w:r>
    </w:p>
    <w:p>
      <w:pPr>
        <w:pStyle w:val="Heading2"/>
      </w:pPr>
      <w:r>
        <w:t>Erwägungen</w:t>
      </w:r>
    </w:p>
    <w:p>
      <w:r>
        <w:rPr>
          <w:b/>
        </w:rPr>
        <w:t>E. 4</w:t>
      </w:r>
    </w:p>
    <w:p>
      <w:r>
        <w:t>a) La Commission foncière, à l'avis de laquelle la Commission cantonale de recours s'est ralliée, a estimé que le droit de BGE 113 II 64 S. 66 préemption statutaire et reconventionnel dont bénéficient réciproquement les recourants ne peut pas être assimilé au droit de préemption de l'art. 682 CC, au motif que la propriété, par deux personnes, de la moitié chacune du capital-actions d'une société est différente juridiquement de la copropriété, par deux personnes, de chaque action de la même société. Devant le Tribunal fédéral, les recourants reprennent les arguments qu'ils ont développés dans les instances cantonales. Dès lors, disent-ils, que le transfert de toutes les actions d'une société anonyme propriétaire de terrains agricoles équivaut au transfert de l'immeuble lui-même, l'assimilation doit être complète: notamment, le droit de préemption sur les actions d'une société immobilière, à la fois statutaire et conventionnel, doit être assimilé au droit de préemption légal du copropriétaire, droit dont il remplit la fonction, à la fois juridique et économique, et rendre ainsi caduque la procédure d'opposition des art. 19 à 21 LPR. Les recourants contestent que l'exercice d'un droit d'opposition puisse annuler un droit de préemption et ils affirment que c'est bien dans cette situation que les placerait la décision attaquée, puisque le droit de préemption, bien que ne pouvant pas s'exercer, subsisterait toujours avec cette conséquence, contraire à la garantie constitutionnelle de la propriété, que l'actionnaire qui désire vendre ne le pourrait plus, ni au bénéficiaire du droit de préemption, ni à un tiers. b) L'argumentation des recourants ne saurait être accueillie: aa) Tout d'abord, la procédure d'opposition des art. 18 à 21 LPR a été introduite pour empêcher les transactions immobilières de nature à porter atteinte aux buts poursuivis par la loi fédérale sur le maintien de la propriété foncière rurale, tels qu'ils ont été indiqués à l'art. 1er LPR, notamment la protection de la propriété foncière rurale et le maintien d'entreprises agricoles. Cette procédure d'opposition n'est pas justifiée lorsqu'est exercé un des droits de préemption institués par la loi (en faveur de la parenté, du fermier et des employés, art. 6 à 8 LPR), car ces droits ne vont pas à l'encontre des buts visés par la loi. Le droit de préemption du copropriétaire suivant l'art. 682 CC, qui prime les droits de préemption institués par la loi sur le maintien de la propriété foncière rurale et n'entre pas en conflit avec eux, a un autre fondement. Il est basé sur le droit civil commun et a été réservé, à l'al. 3 de l'art. 6 LPR (sur proposition émanant de la Commission du Conseil des Etats, Bull.stén., 1949, p. 331/332), au même titre que l'acquisition de la propriété fondée sur des enchères forcées BGE 113 II 64 S. 67 (art. 6 al. 3 lettre c LPR) ou, par exemple, sur une procédure d'expropriation (art. 6 al. 3 lettre b, 10 lettre b LPR). On peut laisser indécise la question de savoir si la dispense de la procédure d'opposition selon l'art. 21 al. 3 LPR concerne également le droit de préemption légal du copropriétaire. Mais on ne saurait en tout cas étendre cette dispense, qui doit être interprétée restrictivement, à un droit de préemption statutaire et conventionnel. bb) En outre, la propriété, par deux personnes distinctes, de la moitié chacune du capital-actions d'une société est autre chose juridiquement que la copropriété sur chaque action, et le droit de préemption statutaire et conventionnel n'équivaut pas à un droit de copropriété sur un bien-fonds. Quant à dire que, puisque la jurisprudence attribue à la vente du capital-actions les mêmes effets qu'à la vente du domaine, il y aurait lieu logiquement de traiter de la même manière le droit de préemption légal du copropriétaire foncier et le droit de préemption que deux personnes, possédant chacune la moitié du capital-actions, se sont reconnu, l'argument porte à faux. Si la jurisprudence a tenu compte de la réalité économique, en assimilant la cession du capital-actions assurant la maîtrise du domaine à la vente de ce domaine, c'est pour permettre que la procédure d'opposition puisse être engagée même dans une telle situation et pour éviter que la protection visée par la loi ne soit rendue illusoire, non pour empêcher qu'une opposition soit formée. cc) Enfin, et cela coupe court à toute discussion quant à l'assimilation du droit de préemption statutaire et conventionnel au droit de préemption légal, on n'est pas en présence, dans l'espèce, d'un cas de préemption. Un tel cas suppose l'aliénation à un tiers, par une vente ou un acte analogue, de l'objet du transfert de propriété. La simple intention de vendre ne suffit pas. Seule la conclusion effective et valable du contrat avec un tiers déclenche le cas de préemption (MEIER-HAYOZ, n. 140-142 ad art. 681, n. 68 ad art. 682 CC). Si le propriétaire vend l'objet grevé du droit de préemption au titulaire de ce droit, sans même chercher à l'aliéner à un tiers, le titre juridique du transfert de propriété n'est pas le droit de préemption mais un contrat de vente directe (MEIER-HAYOZ, n. 176 et 244 ad art. 681 CC). c) Il s'ensuit qu'en l'espèce les autorités cantonales n'ont pas violé le droit fédéral en admettant que la cession de la moitié du capital-actions de la SI Haute-Cour S.A. par René Baatard à Schenk S.A. était soumise à la procédure d'opposition des art. 19 à 21 LPR.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